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03" w:rsidRPr="00DC0C7B" w:rsidRDefault="00CD2503" w:rsidP="00CD2503">
      <w:pPr>
        <w:spacing w:line="360" w:lineRule="auto"/>
        <w:jc w:val="both"/>
        <w:rPr>
          <w:rFonts w:ascii="Arial" w:hAnsi="Arial"/>
          <w:b/>
          <w:sz w:val="28"/>
        </w:rPr>
      </w:pPr>
      <w:r w:rsidRPr="00DC0C7B">
        <w:rPr>
          <w:rFonts w:ascii="Arial" w:hAnsi="Arial"/>
          <w:b/>
          <w:sz w:val="28"/>
        </w:rPr>
        <w:t>Pas de panique avant la vidange !</w:t>
      </w:r>
      <w:r>
        <w:rPr>
          <w:rFonts w:ascii="Arial" w:hAnsi="Arial"/>
          <w:b/>
          <w:sz w:val="28"/>
        </w:rPr>
        <w:tab/>
      </w:r>
      <w:r w:rsidRPr="00DC0C7B">
        <w:rPr>
          <w:rFonts w:ascii="Arial" w:hAnsi="Arial"/>
          <w:b/>
          <w:sz w:val="28"/>
        </w:rPr>
        <w:t xml:space="preserve"> </w:t>
      </w:r>
      <w:r w:rsidRPr="00DC0C7B">
        <w:rPr>
          <w:rFonts w:ascii="Arial" w:hAnsi="Arial" w:cs="Arial"/>
          <w:b/>
          <w:sz w:val="28"/>
          <w:szCs w:val="20"/>
        </w:rPr>
        <w:br/>
      </w:r>
      <w:r w:rsidRPr="00DC0C7B">
        <w:rPr>
          <w:rFonts w:ascii="Arial" w:hAnsi="Arial"/>
          <w:b/>
          <w:sz w:val="28"/>
        </w:rPr>
        <w:t>MEYLE vous donne des conseils pour la vidange des boîtes automatiques.</w:t>
      </w:r>
    </w:p>
    <w:p w:rsidR="00CD2503" w:rsidRPr="00DC0C7B" w:rsidRDefault="00CD2503" w:rsidP="00CD2503">
      <w:pPr>
        <w:rPr>
          <w:rFonts w:ascii="Arial" w:hAnsi="Arial"/>
          <w:b/>
          <w:sz w:val="28"/>
        </w:rPr>
      </w:pPr>
    </w:p>
    <w:p w:rsidR="00CD2503" w:rsidRPr="00CD2503" w:rsidRDefault="00CD2503" w:rsidP="00CD2503">
      <w:pPr>
        <w:spacing w:line="360" w:lineRule="auto"/>
        <w:jc w:val="both"/>
        <w:rPr>
          <w:rFonts w:ascii="Arial" w:hAnsi="Arial" w:cs="Arial"/>
          <w:b/>
        </w:rPr>
      </w:pPr>
      <w:r w:rsidRPr="00CD2503">
        <w:rPr>
          <w:rFonts w:ascii="Arial" w:hAnsi="Arial" w:cs="Arial"/>
          <w:b/>
          <w:u w:val="single"/>
        </w:rPr>
        <w:t>Hambourg, le 12 décembre 2019.</w:t>
      </w:r>
      <w:r w:rsidRPr="00CD2503">
        <w:rPr>
          <w:rFonts w:ascii="Arial" w:hAnsi="Arial" w:cs="Arial"/>
          <w:b/>
        </w:rPr>
        <w:t xml:space="preserve"> « Les boîtes automatiques ? Elles n’ont pas besoin de vidange ! » Cette rumeur persiste bien qu'il ait été prouvé depuis longtemps que c'est faux. L’huile de boîte de vitesses est soumise à un vieillissement naturel, l'huile se détériore ou perd d'importants additifs.</w:t>
      </w:r>
      <w:r w:rsidR="003C5DFF">
        <w:rPr>
          <w:rFonts w:ascii="Arial" w:hAnsi="Arial" w:cs="Arial"/>
          <w:b/>
        </w:rPr>
        <w:t xml:space="preserve"> </w:t>
      </w:r>
      <w:r w:rsidRPr="00CD2503">
        <w:rPr>
          <w:rFonts w:ascii="Arial" w:hAnsi="Arial" w:cs="Arial"/>
          <w:b/>
        </w:rPr>
        <w:t xml:space="preserve">Il est essentiel de changer l'huile : cela évite d'endommager la boîte de vitesses, assure son bon fonctionnement et maintient le confort de conduite. Toutefois, de nombreuses questions demeurent. Nous souhaitons y répondre ! Le fabricant de pièces détachées hambourgeois MEYLE propose plus de 60 kits de vidange, avec tous les composants nécessaires : filtres, joints, vis, vis de vidange ou de remplissage, aimants et, selon l'application, la quantité d'huile de boîte de vitesses correspondante. Cela préserve la bourse et les nerfs, aussi bien pour les ateliers que les automobilistes. Avec les conseils de MEYLE, la vidange sera désormais encore plus facile. </w:t>
      </w:r>
    </w:p>
    <w:p w:rsidR="00CD2503" w:rsidRPr="00CD2503" w:rsidRDefault="00CD2503" w:rsidP="00CD2503">
      <w:pPr>
        <w:spacing w:line="360" w:lineRule="auto"/>
        <w:jc w:val="both"/>
        <w:rPr>
          <w:rFonts w:ascii="Arial" w:hAnsi="Arial" w:cs="Arial"/>
          <w:b/>
        </w:rPr>
      </w:pPr>
    </w:p>
    <w:p w:rsidR="00CD2503" w:rsidRPr="00CD2503" w:rsidRDefault="00CD2503" w:rsidP="00CD2503">
      <w:pPr>
        <w:pStyle w:val="Listenabsatz"/>
        <w:numPr>
          <w:ilvl w:val="0"/>
          <w:numId w:val="5"/>
        </w:numPr>
        <w:spacing w:line="360" w:lineRule="auto"/>
        <w:ind w:left="360"/>
        <w:jc w:val="both"/>
        <w:rPr>
          <w:rFonts w:ascii="Arial" w:hAnsi="Arial" w:cs="Arial"/>
          <w:lang w:val="fr-FR"/>
        </w:rPr>
      </w:pPr>
      <w:r w:rsidRPr="00CD2503">
        <w:rPr>
          <w:rFonts w:ascii="Arial" w:hAnsi="Arial" w:cs="Arial"/>
          <w:b/>
          <w:lang w:val="fr-FR"/>
        </w:rPr>
        <w:t xml:space="preserve">Avant tout vidange, il convient de lire et respecter </w:t>
      </w:r>
      <w:proofErr w:type="gramStart"/>
      <w:r w:rsidRPr="00CD2503">
        <w:rPr>
          <w:rFonts w:ascii="Arial" w:hAnsi="Arial" w:cs="Arial"/>
          <w:b/>
          <w:lang w:val="fr-FR"/>
        </w:rPr>
        <w:t>les données constructeur</w:t>
      </w:r>
      <w:proofErr w:type="gramEnd"/>
      <w:r w:rsidRPr="00CD2503">
        <w:rPr>
          <w:rFonts w:ascii="Arial" w:hAnsi="Arial" w:cs="Arial"/>
          <w:b/>
          <w:lang w:val="fr-FR"/>
        </w:rPr>
        <w:t xml:space="preserve"> concernant la marche à suivre et la spécification de l'huile de boîte de vitesses.</w:t>
      </w:r>
      <w:r w:rsidRPr="00CD2503">
        <w:rPr>
          <w:rFonts w:ascii="Arial" w:hAnsi="Arial" w:cs="Arial"/>
          <w:b/>
          <w:lang w:val="fr-FR"/>
        </w:rPr>
        <w:br/>
      </w:r>
      <w:r w:rsidRPr="00CD2503">
        <w:rPr>
          <w:rFonts w:ascii="Arial" w:hAnsi="Arial" w:cs="Arial"/>
          <w:lang w:val="fr-FR"/>
        </w:rPr>
        <w:t>Car : une huile de boîte de vitesses non conforme peut provoquer des changements de vitesse improbables et de graves dommages sur la boîte de vitesses.</w:t>
      </w:r>
    </w:p>
    <w:p w:rsidR="00CD2503" w:rsidRPr="00CD2503" w:rsidRDefault="00CD2503" w:rsidP="00CD2503">
      <w:pPr>
        <w:pStyle w:val="Listenabsatz"/>
        <w:spacing w:line="360" w:lineRule="auto"/>
        <w:ind w:left="360"/>
        <w:jc w:val="both"/>
        <w:rPr>
          <w:rFonts w:ascii="Arial" w:hAnsi="Arial" w:cs="Arial"/>
          <w:lang w:val="fr-FR"/>
        </w:rPr>
      </w:pPr>
    </w:p>
    <w:p w:rsidR="00CD2503" w:rsidRPr="00CD2503" w:rsidRDefault="00CD2503" w:rsidP="00CD2503">
      <w:pPr>
        <w:pStyle w:val="Listenabsatz"/>
        <w:numPr>
          <w:ilvl w:val="0"/>
          <w:numId w:val="5"/>
        </w:numPr>
        <w:spacing w:line="360" w:lineRule="auto"/>
        <w:ind w:left="360"/>
        <w:jc w:val="both"/>
        <w:rPr>
          <w:rFonts w:ascii="Arial" w:hAnsi="Arial" w:cs="Arial"/>
          <w:lang w:val="fr-FR"/>
        </w:rPr>
      </w:pPr>
      <w:r w:rsidRPr="00CD2503">
        <w:rPr>
          <w:rFonts w:ascii="Arial" w:hAnsi="Arial" w:cs="Arial"/>
          <w:b/>
          <w:lang w:val="fr-FR"/>
        </w:rPr>
        <w:t>Avant la vidange, consulter et enregistrer le journal d'erreurs.</w:t>
      </w:r>
    </w:p>
    <w:p w:rsidR="00CD2503" w:rsidRPr="00CD2503" w:rsidRDefault="00CD2503" w:rsidP="00CD2503">
      <w:pPr>
        <w:spacing w:line="360" w:lineRule="auto"/>
        <w:ind w:left="348" w:firstLine="12"/>
        <w:jc w:val="both"/>
        <w:rPr>
          <w:rFonts w:ascii="Arial" w:hAnsi="Arial" w:cs="Arial"/>
          <w:color w:val="333333"/>
          <w:shd w:val="clear" w:color="auto" w:fill="FFFFFF"/>
        </w:rPr>
      </w:pPr>
      <w:r w:rsidRPr="00CD2503">
        <w:rPr>
          <w:rFonts w:ascii="Arial" w:hAnsi="Arial" w:cs="Arial"/>
          <w:color w:val="333333"/>
          <w:shd w:val="clear" w:color="auto" w:fill="FFFFFF"/>
        </w:rPr>
        <w:t>Lire le journal d'erreurs via l'interface de diagnostic et imprimer les principales erreurs enregistrées. Cela permet de déceler d'éventuels dommages et d'éviter des travaux inutiles.</w:t>
      </w:r>
    </w:p>
    <w:p w:rsidR="00CD2503" w:rsidRPr="00CD2503" w:rsidRDefault="00CD2503" w:rsidP="00CD2503">
      <w:pPr>
        <w:pStyle w:val="Listenabsatz"/>
        <w:spacing w:line="360" w:lineRule="auto"/>
        <w:ind w:left="360"/>
        <w:jc w:val="both"/>
        <w:rPr>
          <w:rFonts w:ascii="Arial" w:hAnsi="Arial" w:cs="Arial"/>
          <w:lang w:val="fr-FR"/>
        </w:rPr>
      </w:pPr>
    </w:p>
    <w:p w:rsidR="00CD2503" w:rsidRPr="00CD2503" w:rsidRDefault="00CD2503" w:rsidP="00CD2503">
      <w:pPr>
        <w:pStyle w:val="Listenabsatz"/>
        <w:numPr>
          <w:ilvl w:val="0"/>
          <w:numId w:val="5"/>
        </w:numPr>
        <w:spacing w:line="360" w:lineRule="auto"/>
        <w:ind w:left="360"/>
        <w:jc w:val="both"/>
        <w:rPr>
          <w:rFonts w:ascii="Arial" w:hAnsi="Arial" w:cs="Arial"/>
          <w:lang w:val="fr-FR"/>
        </w:rPr>
      </w:pPr>
      <w:r w:rsidRPr="00CD2503">
        <w:rPr>
          <w:rFonts w:ascii="Arial" w:hAnsi="Arial" w:cs="Arial"/>
          <w:b/>
          <w:lang w:val="fr-FR"/>
        </w:rPr>
        <w:lastRenderedPageBreak/>
        <w:t>Lever la voiture aussi horizontalement que possible avec la plateforme de levage.</w:t>
      </w:r>
    </w:p>
    <w:p w:rsidR="00CD2503" w:rsidRPr="00CD2503" w:rsidRDefault="00CD2503" w:rsidP="00CD2503">
      <w:pPr>
        <w:pStyle w:val="Listenabsatz"/>
        <w:spacing w:line="360" w:lineRule="auto"/>
        <w:ind w:left="360"/>
        <w:jc w:val="both"/>
        <w:rPr>
          <w:rFonts w:ascii="Arial" w:hAnsi="Arial" w:cs="Arial"/>
          <w:lang w:val="fr-FR"/>
        </w:rPr>
      </w:pPr>
      <w:r w:rsidRPr="00CD2503">
        <w:rPr>
          <w:rFonts w:ascii="Arial" w:hAnsi="Arial" w:cs="Arial"/>
          <w:lang w:val="fr-FR"/>
        </w:rPr>
        <w:t>C'est le seul moyen de mesurer correctement le niveau d'huile.</w:t>
      </w:r>
    </w:p>
    <w:p w:rsidR="00CD2503" w:rsidRPr="00CD2503" w:rsidRDefault="00CD2503" w:rsidP="00CD2503">
      <w:pPr>
        <w:pStyle w:val="Listenabsatz"/>
        <w:spacing w:line="360" w:lineRule="auto"/>
        <w:ind w:left="360"/>
        <w:jc w:val="both"/>
        <w:rPr>
          <w:rFonts w:ascii="Arial" w:hAnsi="Arial" w:cs="Arial"/>
          <w:b/>
          <w:lang w:val="fr-FR"/>
        </w:rPr>
      </w:pP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t>Vérifier l'étanchéité des connexions mécatroniques externes.</w:t>
      </w:r>
    </w:p>
    <w:p w:rsidR="00CD2503" w:rsidRPr="00CD2503" w:rsidRDefault="00CD2503" w:rsidP="00CD2503">
      <w:pPr>
        <w:pStyle w:val="Listenabsatz"/>
        <w:spacing w:line="360" w:lineRule="auto"/>
        <w:ind w:left="360"/>
        <w:jc w:val="both"/>
        <w:rPr>
          <w:rFonts w:ascii="Arial" w:hAnsi="Arial" w:cs="Arial"/>
          <w:lang w:val="fr-FR"/>
        </w:rPr>
      </w:pPr>
      <w:r w:rsidRPr="00CD2503">
        <w:rPr>
          <w:rFonts w:ascii="Arial" w:hAnsi="Arial" w:cs="Arial"/>
          <w:lang w:val="fr-FR"/>
        </w:rPr>
        <w:t>En cas de besoin : Remplacer les connecteurs avec joint, visser avec le couple indiqué ou vérifier la bonne position du système d'arrêt.</w:t>
      </w:r>
      <w:r>
        <w:rPr>
          <w:rFonts w:ascii="Arial" w:hAnsi="Arial" w:cs="Arial"/>
          <w:lang w:val="fr-FR"/>
        </w:rPr>
        <w:tab/>
      </w:r>
      <w:r w:rsidRPr="00CD2503">
        <w:rPr>
          <w:rFonts w:ascii="Arial" w:hAnsi="Arial" w:cs="Arial"/>
          <w:lang w:val="fr-FR"/>
        </w:rPr>
        <w:br/>
      </w:r>
    </w:p>
    <w:p w:rsidR="00CD2503" w:rsidRPr="00CD2503" w:rsidRDefault="00CD2503" w:rsidP="00CD2503">
      <w:pPr>
        <w:pStyle w:val="Listenabsatz"/>
        <w:spacing w:line="360" w:lineRule="auto"/>
        <w:ind w:left="360"/>
        <w:jc w:val="both"/>
        <w:rPr>
          <w:rFonts w:ascii="Arial" w:hAnsi="Arial" w:cs="Arial"/>
          <w:lang w:val="fr-FR"/>
        </w:rPr>
      </w:pPr>
      <w:r w:rsidRPr="00CD2503">
        <w:rPr>
          <w:rFonts w:ascii="Arial" w:hAnsi="Arial" w:cs="Arial"/>
          <w:lang w:val="fr-FR"/>
        </w:rPr>
        <w:t>Pratique : Les joints et connecteurs adéquats sont intégrés au kit MEYLE.</w:t>
      </w:r>
    </w:p>
    <w:p w:rsidR="00CD2503" w:rsidRPr="00CD2503" w:rsidRDefault="00CD2503" w:rsidP="00CD2503">
      <w:pPr>
        <w:pStyle w:val="Listenabsatz"/>
        <w:spacing w:line="360" w:lineRule="auto"/>
        <w:ind w:left="360"/>
        <w:jc w:val="both"/>
        <w:rPr>
          <w:rFonts w:ascii="Arial" w:hAnsi="Arial" w:cs="Arial"/>
          <w:lang w:val="fr-FR"/>
        </w:rPr>
      </w:pP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t>Les vis du carter d'huile devraient toujours être changées.</w:t>
      </w:r>
    </w:p>
    <w:p w:rsidR="00CD2503" w:rsidRPr="00CD2503" w:rsidRDefault="00CD2503" w:rsidP="00CD2503">
      <w:pPr>
        <w:pStyle w:val="Listenabsatz"/>
        <w:spacing w:line="360" w:lineRule="auto"/>
        <w:ind w:left="360"/>
        <w:jc w:val="both"/>
        <w:rPr>
          <w:rFonts w:ascii="Arial" w:hAnsi="Arial" w:cs="Arial"/>
          <w:lang w:val="fr-FR"/>
        </w:rPr>
      </w:pPr>
      <w:r w:rsidRPr="00CD2503">
        <w:rPr>
          <w:rFonts w:ascii="Arial" w:hAnsi="Arial" w:cs="Arial"/>
          <w:lang w:val="fr-FR"/>
        </w:rPr>
        <w:t>Car : Souvent, des vis d'expansion à usage unique sont utilisées.</w:t>
      </w:r>
    </w:p>
    <w:p w:rsidR="00CD2503" w:rsidRPr="00CD2503" w:rsidRDefault="00CD2503" w:rsidP="00CD2503">
      <w:pPr>
        <w:pStyle w:val="Listenabsatz"/>
        <w:spacing w:line="360" w:lineRule="auto"/>
        <w:ind w:left="360"/>
        <w:jc w:val="both"/>
        <w:rPr>
          <w:rFonts w:ascii="Arial" w:hAnsi="Arial" w:cs="Arial"/>
          <w:lang w:val="fr-FR"/>
        </w:rPr>
      </w:pPr>
    </w:p>
    <w:p w:rsidR="00CD2503" w:rsidRPr="00CD2503" w:rsidRDefault="00CD2503" w:rsidP="00CD2503">
      <w:pPr>
        <w:pStyle w:val="Listenabsatz"/>
        <w:spacing w:line="360" w:lineRule="auto"/>
        <w:ind w:left="360"/>
        <w:jc w:val="both"/>
        <w:rPr>
          <w:rFonts w:ascii="Arial" w:hAnsi="Arial" w:cs="Arial"/>
          <w:color w:val="FF0000"/>
          <w:u w:val="single"/>
          <w:lang w:val="fr-FR"/>
        </w:rPr>
      </w:pPr>
      <w:r w:rsidRPr="00CD2503">
        <w:rPr>
          <w:rFonts w:ascii="Arial" w:hAnsi="Arial" w:cs="Arial"/>
          <w:lang w:val="fr-FR"/>
        </w:rPr>
        <w:t>Astucieux : De nouvelles vis pour carter d'huile sont intégrées au kit MEYLE.</w:t>
      </w:r>
    </w:p>
    <w:p w:rsidR="00CD2503" w:rsidRPr="00CD2503" w:rsidRDefault="00CD2503" w:rsidP="00CD2503">
      <w:pPr>
        <w:pStyle w:val="Listenabsatz"/>
        <w:spacing w:line="360" w:lineRule="auto"/>
        <w:ind w:left="360"/>
        <w:jc w:val="both"/>
        <w:rPr>
          <w:rFonts w:ascii="Arial" w:hAnsi="Arial" w:cs="Arial"/>
          <w:u w:val="single"/>
          <w:lang w:val="fr-FR"/>
        </w:rPr>
      </w:pP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t xml:space="preserve">Vider le convertisseur de couple </w:t>
      </w:r>
    </w:p>
    <w:p w:rsidR="00CD2503" w:rsidRPr="00CD2503" w:rsidRDefault="00CD2503" w:rsidP="00CD2503">
      <w:pPr>
        <w:pStyle w:val="Listenabsatz"/>
        <w:spacing w:line="360" w:lineRule="auto"/>
        <w:ind w:left="360"/>
        <w:jc w:val="both"/>
        <w:rPr>
          <w:rFonts w:ascii="Arial" w:hAnsi="Arial" w:cs="Arial"/>
          <w:strike/>
          <w:lang w:val="fr-FR"/>
        </w:rPr>
      </w:pPr>
      <w:r w:rsidRPr="00CD2503">
        <w:rPr>
          <w:rFonts w:ascii="Arial" w:hAnsi="Arial" w:cs="Arial"/>
          <w:lang w:val="fr-FR"/>
        </w:rPr>
        <w:t xml:space="preserve">Si possible, toujours évacuer l'huile résiduelle du convertisseur de couple. Pour cela, tourner le convertisseur de couple dans la bonne position. Pour certaines transmissions, démonter la pompe à huile supplémentaire pour accéder au bouchon de vidange du convertisseur de couple. </w:t>
      </w:r>
    </w:p>
    <w:p w:rsidR="00CD2503" w:rsidRPr="00CD2503" w:rsidRDefault="00CD2503" w:rsidP="00CD2503">
      <w:pPr>
        <w:spacing w:line="360" w:lineRule="auto"/>
        <w:jc w:val="both"/>
        <w:rPr>
          <w:rFonts w:ascii="Arial" w:hAnsi="Arial" w:cs="Arial"/>
        </w:rPr>
      </w:pP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t>Remplir le convertisseur de couple</w:t>
      </w:r>
    </w:p>
    <w:p w:rsidR="00CD2503" w:rsidRPr="00CD2503" w:rsidRDefault="00CD2503" w:rsidP="00CD2503">
      <w:pPr>
        <w:spacing w:line="360" w:lineRule="auto"/>
        <w:ind w:left="348"/>
        <w:jc w:val="both"/>
        <w:rPr>
          <w:rFonts w:ascii="Arial" w:hAnsi="Arial" w:cs="Arial"/>
        </w:rPr>
      </w:pPr>
      <w:r w:rsidRPr="00CD2503">
        <w:rPr>
          <w:rFonts w:ascii="Arial" w:hAnsi="Arial" w:cs="Arial"/>
        </w:rPr>
        <w:t xml:space="preserve">Faire tourner le moteur au ralenti accéléré (1500 à 2000 </w:t>
      </w:r>
      <w:proofErr w:type="spellStart"/>
      <w:r w:rsidRPr="00CD2503">
        <w:rPr>
          <w:rFonts w:ascii="Arial" w:hAnsi="Arial" w:cs="Arial"/>
        </w:rPr>
        <w:t>trs</w:t>
      </w:r>
      <w:proofErr w:type="spellEnd"/>
      <w:r w:rsidRPr="00CD2503">
        <w:rPr>
          <w:rFonts w:ascii="Arial" w:hAnsi="Arial" w:cs="Arial"/>
        </w:rPr>
        <w:t xml:space="preserve">/min) en position N pendant 20 sec. </w:t>
      </w:r>
      <w:proofErr w:type="gramStart"/>
      <w:r w:rsidRPr="00CD2503">
        <w:rPr>
          <w:rFonts w:ascii="Arial" w:hAnsi="Arial" w:cs="Arial"/>
        </w:rPr>
        <w:t>afin</w:t>
      </w:r>
      <w:proofErr w:type="gramEnd"/>
      <w:r w:rsidRPr="00CD2503">
        <w:rPr>
          <w:rFonts w:ascii="Arial" w:hAnsi="Arial" w:cs="Arial"/>
        </w:rPr>
        <w:t xml:space="preserve"> de remplir le convertisseur de couple. Convient aussi pour les transmissions sans bouchon de vidange sur le convertisseur de couple.</w:t>
      </w:r>
    </w:p>
    <w:p w:rsidR="00CD2503" w:rsidRPr="00CD2503" w:rsidRDefault="00CD2503" w:rsidP="00CD2503">
      <w:pPr>
        <w:pStyle w:val="Listenabsatz"/>
        <w:spacing w:line="360" w:lineRule="auto"/>
        <w:ind w:left="360"/>
        <w:jc w:val="both"/>
        <w:rPr>
          <w:rFonts w:ascii="Arial" w:hAnsi="Arial" w:cs="Arial"/>
          <w:lang w:val="fr-FR"/>
        </w:rPr>
      </w:pP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t>Température correcte de l'huile de boîte de vitesses</w:t>
      </w:r>
    </w:p>
    <w:p w:rsidR="00CD2503" w:rsidRPr="00CD2503" w:rsidRDefault="00CD2503" w:rsidP="00CD2503">
      <w:pPr>
        <w:spacing w:line="360" w:lineRule="auto"/>
        <w:ind w:left="348"/>
        <w:jc w:val="both"/>
        <w:rPr>
          <w:rFonts w:ascii="Arial" w:hAnsi="Arial" w:cs="Arial"/>
        </w:rPr>
      </w:pPr>
      <w:r w:rsidRPr="00CD2503">
        <w:rPr>
          <w:rFonts w:ascii="Arial" w:hAnsi="Arial" w:cs="Arial"/>
        </w:rPr>
        <w:t xml:space="preserve">Le niveau d'huile adéquat n'est réalisable qu'une fois la température recommandée pour l'huile de boîte de vitesses atteinte. Là encore, les instructions du constructeur doivent impérativement être respectées. </w:t>
      </w:r>
    </w:p>
    <w:p w:rsidR="00CD2503" w:rsidRPr="00CD2503" w:rsidRDefault="00CD2503" w:rsidP="00CD2503">
      <w:pPr>
        <w:pStyle w:val="Listenabsatz"/>
        <w:numPr>
          <w:ilvl w:val="0"/>
          <w:numId w:val="5"/>
        </w:numPr>
        <w:spacing w:line="360" w:lineRule="auto"/>
        <w:ind w:left="360"/>
        <w:jc w:val="both"/>
        <w:rPr>
          <w:rFonts w:ascii="Arial" w:hAnsi="Arial" w:cs="Arial"/>
          <w:b/>
          <w:lang w:val="fr-FR"/>
        </w:rPr>
      </w:pPr>
      <w:r w:rsidRPr="00CD2503">
        <w:rPr>
          <w:rFonts w:ascii="Arial" w:hAnsi="Arial" w:cs="Arial"/>
          <w:b/>
          <w:lang w:val="fr-FR"/>
        </w:rPr>
        <w:lastRenderedPageBreak/>
        <w:t xml:space="preserve">Réinitialiser les valeurs d'adaptation </w:t>
      </w:r>
    </w:p>
    <w:p w:rsidR="00CD2503" w:rsidRPr="00CD2503" w:rsidRDefault="00CD2503" w:rsidP="00CD2503">
      <w:pPr>
        <w:pStyle w:val="Listenabsatz"/>
        <w:spacing w:line="360" w:lineRule="auto"/>
        <w:ind w:left="360"/>
        <w:jc w:val="both"/>
        <w:rPr>
          <w:rFonts w:ascii="Arial" w:hAnsi="Arial" w:cs="Arial"/>
          <w:strike/>
          <w:lang w:val="fr-FR"/>
        </w:rPr>
      </w:pPr>
      <w:r w:rsidRPr="00CD2503">
        <w:rPr>
          <w:rFonts w:ascii="Arial" w:hAnsi="Arial" w:cs="Arial"/>
          <w:lang w:val="fr-FR"/>
        </w:rPr>
        <w:t xml:space="preserve">Pour certains véhicules, une adaptation est recommandée par le fabricant après la vidange ; celle-ci s'effectue sur un banc d'essai correspondant ou pendant le fonctionnement, guidée par menu ou via l'unité de diagnostic. </w:t>
      </w:r>
    </w:p>
    <w:p w:rsidR="00CD2503" w:rsidRPr="00CD2503" w:rsidRDefault="00CD2503" w:rsidP="00CD2503">
      <w:pPr>
        <w:spacing w:line="360" w:lineRule="auto"/>
        <w:jc w:val="both"/>
        <w:rPr>
          <w:rFonts w:ascii="Arial" w:hAnsi="Arial" w:cs="Arial"/>
        </w:rPr>
      </w:pPr>
    </w:p>
    <w:p w:rsidR="00CD2503" w:rsidRPr="00CD2503" w:rsidRDefault="00CD2503" w:rsidP="00CD2503">
      <w:pPr>
        <w:spacing w:line="360" w:lineRule="auto"/>
        <w:jc w:val="both"/>
        <w:rPr>
          <w:rFonts w:ascii="Arial" w:hAnsi="Arial" w:cs="Arial"/>
        </w:rPr>
      </w:pPr>
      <w:r w:rsidRPr="00CD2503">
        <w:rPr>
          <w:rFonts w:ascii="Arial" w:hAnsi="Arial" w:cs="Arial"/>
        </w:rPr>
        <w:t xml:space="preserve">Quelle huile pour quelle transmission ? Et à quels intervalles de changement ? En guise d'aperçu pratique, MEYLE propose un poster compact à télécharger sur </w:t>
      </w:r>
      <w:hyperlink r:id="rId9" w:history="1">
        <w:r w:rsidRPr="00CD2503">
          <w:rPr>
            <w:rStyle w:val="Hyperlink"/>
            <w:rFonts w:ascii="Arial" w:hAnsi="Arial" w:cs="Arial"/>
          </w:rPr>
          <w:t>http://meyle.com/kits/vidange-dhuile</w:t>
        </w:r>
      </w:hyperlink>
      <w:r w:rsidRPr="00CD2503">
        <w:rPr>
          <w:rFonts w:ascii="Arial" w:hAnsi="Arial" w:cs="Arial"/>
        </w:rPr>
        <w:t xml:space="preserve">. Jeter un coup d'œil est toujours valable !  </w:t>
      </w:r>
    </w:p>
    <w:p w:rsidR="00CD2503" w:rsidRPr="00CD2503" w:rsidRDefault="00CD2503" w:rsidP="00CD2503">
      <w:pPr>
        <w:spacing w:line="360" w:lineRule="auto"/>
        <w:jc w:val="both"/>
        <w:rPr>
          <w:rFonts w:ascii="Arial" w:hAnsi="Arial" w:cs="Arial"/>
        </w:rPr>
      </w:pPr>
    </w:p>
    <w:p w:rsidR="00CD2503" w:rsidRPr="00961C25" w:rsidRDefault="00CD2503" w:rsidP="00CD2503">
      <w:pPr>
        <w:spacing w:line="360" w:lineRule="auto"/>
        <w:jc w:val="both"/>
        <w:rPr>
          <w:rFonts w:ascii="Arial" w:hAnsi="Arial" w:cs="Arial"/>
        </w:rPr>
      </w:pPr>
      <w:r w:rsidRPr="00CD2503">
        <w:rPr>
          <w:rFonts w:ascii="Arial" w:hAnsi="Arial" w:cs="Arial"/>
        </w:rPr>
        <w:t>Les MEYLE-KITS permettent d‘économiser du temps et de l‘argent et rendent la vie quotidienne en atelier plus efficace. Ils rendent l’intervention technique et les réparations beaucoup plus simples et plus abordables. Cela permet également d‘optimiser la qualité des réparations et ainsi d‘assurer la satisfaction des clients. Lorsqu‘il s‘agit de développer des MEYLE-KITS, nous prenons le point de vue du technicien de l‘atelier et nous nous engageons à rendre les opérations de l‘atelier aussi efficaces et rapides que possible.</w:t>
      </w:r>
      <w:r>
        <w:rPr>
          <w:rFonts w:ascii="Arial" w:hAnsi="Arial" w:cs="Arial"/>
        </w:rPr>
        <w:tab/>
      </w:r>
      <w:r>
        <w:rPr>
          <w:rFonts w:ascii="Arial" w:hAnsi="Arial" w:cs="Arial"/>
        </w:rPr>
        <w:br/>
      </w:r>
      <w:r>
        <w:rPr>
          <w:rFonts w:ascii="Arial" w:hAnsi="Arial" w:cs="Arial"/>
        </w:rPr>
        <w:br/>
      </w:r>
      <w:r>
        <w:rPr>
          <w:rFonts w:ascii="Arial" w:hAnsi="Arial" w:cs="Arial"/>
          <w:szCs w:val="20"/>
        </w:rPr>
        <w:t xml:space="preserve">Plus d'informations sur les MEYLE-KITS : </w:t>
      </w:r>
      <w:hyperlink r:id="rId10" w:history="1">
        <w:r>
          <w:rPr>
            <w:rStyle w:val="Hyperlink"/>
            <w:rFonts w:ascii="Arial" w:hAnsi="Arial" w:cs="Arial"/>
            <w:szCs w:val="20"/>
          </w:rPr>
          <w:t>www.meyle.com/fr/meyle-kits</w:t>
        </w:r>
      </w:hyperlink>
      <w:r w:rsidR="001F15E3" w:rsidRPr="001F15E3">
        <w:rPr>
          <w:rStyle w:val="Hyperlink"/>
          <w:rFonts w:ascii="Arial" w:hAnsi="Arial" w:cs="Arial"/>
          <w:szCs w:val="20"/>
          <w:u w:val="none"/>
        </w:rPr>
        <w:t xml:space="preserve">. </w:t>
      </w:r>
      <w:r w:rsidR="001F15E3">
        <w:rPr>
          <w:rStyle w:val="Hyperlink"/>
          <w:rFonts w:ascii="Arial" w:hAnsi="Arial" w:cs="Arial"/>
          <w:szCs w:val="20"/>
        </w:rPr>
        <w:tab/>
      </w:r>
      <w:r>
        <w:rPr>
          <w:rStyle w:val="Hyperlink"/>
          <w:rFonts w:ascii="Arial" w:hAnsi="Arial" w:cs="Arial"/>
          <w:szCs w:val="20"/>
        </w:rPr>
        <w:br/>
      </w:r>
      <w:r w:rsidRPr="00961C25">
        <w:rPr>
          <w:rFonts w:ascii="Arial" w:hAnsi="Arial" w:cs="Arial"/>
        </w:rPr>
        <w:t>Vous pouvez télécharger</w:t>
      </w:r>
      <w:bookmarkStart w:id="0" w:name="_GoBack"/>
      <w:bookmarkEnd w:id="0"/>
      <w:r w:rsidRPr="00961C25">
        <w:rPr>
          <w:rFonts w:ascii="Arial" w:hAnsi="Arial" w:cs="Arial"/>
        </w:rPr>
        <w:t xml:space="preserve"> les communiqués de presse et les photos sur </w:t>
      </w:r>
      <w:hyperlink r:id="rId11" w:history="1">
        <w:r w:rsidRPr="00961C25">
          <w:rPr>
            <w:rStyle w:val="Hyperlink"/>
            <w:rFonts w:ascii="Arial" w:hAnsi="Arial" w:cs="Arial"/>
          </w:rPr>
          <w:t>http://www.meyle.com</w:t>
        </w:r>
      </w:hyperlink>
      <w:hyperlink r:id="rId12" w:history="1"/>
      <w:r w:rsidRPr="00961C25">
        <w:rPr>
          <w:rFonts w:ascii="Arial" w:hAnsi="Arial" w:cs="Arial"/>
        </w:rPr>
        <w:t xml:space="preserve">. </w:t>
      </w:r>
    </w:p>
    <w:p w:rsidR="00CD2503" w:rsidRPr="00CD2503" w:rsidRDefault="00CD2503" w:rsidP="00CD2503">
      <w:pPr>
        <w:spacing w:line="360" w:lineRule="auto"/>
        <w:jc w:val="both"/>
        <w:rPr>
          <w:rFonts w:ascii="Arial" w:hAnsi="Arial" w:cs="Arial"/>
        </w:rPr>
      </w:pPr>
    </w:p>
    <w:p w:rsidR="00CD2503" w:rsidRPr="00CD2503" w:rsidRDefault="00CD2503" w:rsidP="00CD2503">
      <w:pPr>
        <w:spacing w:line="360" w:lineRule="auto"/>
        <w:jc w:val="both"/>
        <w:rPr>
          <w:rFonts w:ascii="Arial" w:hAnsi="Arial" w:cs="Arial"/>
          <w:b/>
          <w:sz w:val="22"/>
        </w:rPr>
      </w:pPr>
      <w:r w:rsidRPr="00CD2503">
        <w:rPr>
          <w:rFonts w:ascii="Arial" w:hAnsi="Arial" w:cs="Arial"/>
          <w:b/>
          <w:sz w:val="22"/>
        </w:rPr>
        <w:t>Attention : Les contenus s'adressent à un personnel spécialisé et formé. Ils présentent une forme simplifiée et raccourcie et ne constituent en aucun cas un déroulement standard. Lire et respecter les recommandations et instructions du constructeur du véhicule. Celles-ci prévalent toujours sur la procédure générale indiquée ici.</w:t>
      </w:r>
    </w:p>
    <w:p w:rsidR="00CD2503" w:rsidRPr="00CD2503" w:rsidRDefault="00CD2503" w:rsidP="00CD2503">
      <w:pPr>
        <w:spacing w:line="360" w:lineRule="auto"/>
        <w:jc w:val="both"/>
        <w:rPr>
          <w:rFonts w:ascii="Arial" w:hAnsi="Arial" w:cs="Arial"/>
        </w:rPr>
      </w:pPr>
    </w:p>
    <w:p w:rsidR="00961C25" w:rsidRDefault="00961C25" w:rsidP="00961C25">
      <w:pPr>
        <w:spacing w:line="360" w:lineRule="auto"/>
        <w:rPr>
          <w:rFonts w:ascii="Arial" w:hAnsi="Arial" w:cs="Arial"/>
        </w:rPr>
        <w:sectPr w:rsidR="00961C25" w:rsidSect="0041337A">
          <w:headerReference w:type="default" r:id="rId13"/>
          <w:footerReference w:type="default" r:id="rId14"/>
          <w:pgSz w:w="11906" w:h="16838"/>
          <w:pgMar w:top="1417" w:right="1417" w:bottom="1134" w:left="1417" w:header="708" w:footer="708" w:gutter="0"/>
          <w:cols w:space="708"/>
          <w:docGrid w:linePitch="360"/>
        </w:sectPr>
      </w:pPr>
    </w:p>
    <w:p w:rsidR="006816C1" w:rsidRPr="00961C25" w:rsidRDefault="006816C1" w:rsidP="00CD2503">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CD2503">
      <w:pPr>
        <w:spacing w:line="360" w:lineRule="auto"/>
        <w:rPr>
          <w:rFonts w:ascii="Arial" w:hAnsi="Arial" w:cs="Arial"/>
          <w:sz w:val="20"/>
          <w:szCs w:val="20"/>
        </w:rPr>
      </w:pPr>
    </w:p>
    <w:p w:rsidR="00B46ADE" w:rsidRPr="00961C25" w:rsidRDefault="00B46ADE" w:rsidP="00CD2503">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5" w:history="1">
        <w:r w:rsidRPr="00961C25">
          <w:rPr>
            <w:rStyle w:val="Hyperlink"/>
            <w:rFonts w:ascii="Arial" w:hAnsi="Arial" w:cs="Arial"/>
            <w:sz w:val="20"/>
            <w:szCs w:val="20"/>
            <w:lang w:val="de-DE"/>
          </w:rPr>
          <w:t>meyle@klenkhoursch.de</w:t>
        </w:r>
      </w:hyperlink>
    </w:p>
    <w:p w:rsidR="006816C1" w:rsidRPr="00CD2503" w:rsidRDefault="006816C1" w:rsidP="00CD2503">
      <w:pPr>
        <w:numPr>
          <w:ilvl w:val="0"/>
          <w:numId w:val="3"/>
        </w:numPr>
        <w:spacing w:line="360" w:lineRule="auto"/>
        <w:rPr>
          <w:rFonts w:ascii="Arial" w:hAnsi="Arial" w:cs="Arial"/>
          <w:sz w:val="20"/>
          <w:szCs w:val="20"/>
          <w:lang w:val="en-US"/>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CD2503">
        <w:rPr>
          <w:rFonts w:ascii="Arial" w:hAnsi="Arial" w:cs="Arial"/>
          <w:sz w:val="20"/>
          <w:szCs w:val="20"/>
          <w:lang w:val="en-US"/>
        </w:rPr>
        <w:t xml:space="preserve">+49 40 67506-7425, email : </w:t>
      </w:r>
      <w:hyperlink r:id="rId16" w:history="1">
        <w:r w:rsidRPr="00CD2503">
          <w:rPr>
            <w:rStyle w:val="Hyperlink"/>
            <w:rFonts w:ascii="Arial" w:hAnsi="Arial" w:cs="Arial"/>
            <w:sz w:val="20"/>
            <w:szCs w:val="20"/>
            <w:lang w:val="en-US"/>
          </w:rPr>
          <w:t>press@meyle.com</w:t>
        </w:r>
      </w:hyperlink>
      <w:r w:rsidRPr="00CD2503">
        <w:rPr>
          <w:rFonts w:ascii="Arial" w:hAnsi="Arial" w:cs="Arial"/>
          <w:sz w:val="20"/>
          <w:szCs w:val="20"/>
          <w:lang w:val="en-US"/>
        </w:rPr>
        <w:t xml:space="preserve">  </w:t>
      </w:r>
    </w:p>
    <w:p w:rsidR="006816C1" w:rsidRPr="00CD2503" w:rsidRDefault="006816C1" w:rsidP="00CD2503">
      <w:pPr>
        <w:spacing w:line="360" w:lineRule="auto"/>
        <w:jc w:val="both"/>
        <w:rPr>
          <w:rFonts w:ascii="Arial" w:hAnsi="Arial"/>
          <w:b/>
          <w:sz w:val="18"/>
          <w:lang w:val="en-US"/>
        </w:rPr>
      </w:pPr>
    </w:p>
    <w:p w:rsidR="00B140AA" w:rsidRPr="00961C25" w:rsidRDefault="00B140AA" w:rsidP="00CD2503">
      <w:pPr>
        <w:spacing w:line="360"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CD2503">
      <w:pPr>
        <w:spacing w:line="360"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CD2503">
      <w:pPr>
        <w:spacing w:line="360" w:lineRule="auto"/>
        <w:jc w:val="both"/>
        <w:rPr>
          <w:rFonts w:ascii="Arial" w:hAnsi="Arial" w:cs="Arial"/>
          <w:b/>
          <w:sz w:val="20"/>
          <w:szCs w:val="20"/>
        </w:rPr>
      </w:pPr>
    </w:p>
    <w:p w:rsidR="00B140AA" w:rsidRPr="00961C25" w:rsidRDefault="00B140AA" w:rsidP="00CD2503">
      <w:pPr>
        <w:spacing w:after="240" w:line="360"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CD2503">
      <w:pPr>
        <w:spacing w:after="240" w:line="360"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CD2503">
      <w:pPr>
        <w:pStyle w:val="KeinLeerraum"/>
        <w:numPr>
          <w:ilvl w:val="0"/>
          <w:numId w:val="1"/>
        </w:numPr>
        <w:spacing w:line="360"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CD2503">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CD2503">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CD2503">
      <w:pPr>
        <w:pStyle w:val="KeinLeerraum"/>
        <w:spacing w:line="360" w:lineRule="auto"/>
        <w:rPr>
          <w:rStyle w:val="Fett"/>
          <w:rFonts w:ascii="Arial" w:hAnsi="Arial" w:cs="Arial"/>
          <w:b w:val="0"/>
          <w:sz w:val="20"/>
          <w:szCs w:val="20"/>
        </w:rPr>
      </w:pPr>
    </w:p>
    <w:p w:rsidR="00B140AA" w:rsidRPr="00961C25" w:rsidRDefault="00B140AA" w:rsidP="00CD2503">
      <w:pPr>
        <w:spacing w:line="360"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03" w:rsidRDefault="00CD2503" w:rsidP="00D621B4">
      <w:r>
        <w:separator/>
      </w:r>
    </w:p>
  </w:endnote>
  <w:endnote w:type="continuationSeparator" w:id="0">
    <w:p w:rsidR="00CD2503" w:rsidRDefault="00CD250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51C65596" wp14:editId="40CE324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03" w:rsidRDefault="00CD2503" w:rsidP="00D621B4">
      <w:r>
        <w:separator/>
      </w:r>
    </w:p>
  </w:footnote>
  <w:footnote w:type="continuationSeparator" w:id="0">
    <w:p w:rsidR="00CD2503" w:rsidRDefault="00CD250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3320A4AD" wp14:editId="065A5047">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74615B6"/>
    <w:multiLevelType w:val="hybridMultilevel"/>
    <w:tmpl w:val="AD86688E"/>
    <w:lvl w:ilvl="0" w:tplc="851296DA">
      <w:start w:val="1"/>
      <w:numFmt w:val="decimal"/>
      <w:lvlText w:val="%1."/>
      <w:lvlJc w:val="left"/>
      <w:pPr>
        <w:ind w:left="720" w:hanging="360"/>
      </w:pPr>
      <w:rPr>
        <w:rFonts w:hint="default"/>
        <w:b/>
        <w:lang w:val="fr-FR"/>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03"/>
    <w:rsid w:val="00006402"/>
    <w:rsid w:val="00045580"/>
    <w:rsid w:val="00165538"/>
    <w:rsid w:val="00185DE9"/>
    <w:rsid w:val="001A2D1B"/>
    <w:rsid w:val="001F15E3"/>
    <w:rsid w:val="001F1CEA"/>
    <w:rsid w:val="002F3A91"/>
    <w:rsid w:val="003C5DFF"/>
    <w:rsid w:val="003F69A7"/>
    <w:rsid w:val="0041337A"/>
    <w:rsid w:val="00460D9F"/>
    <w:rsid w:val="005418D2"/>
    <w:rsid w:val="00574F45"/>
    <w:rsid w:val="006778FE"/>
    <w:rsid w:val="006816C1"/>
    <w:rsid w:val="007F682C"/>
    <w:rsid w:val="00961C25"/>
    <w:rsid w:val="00990E5E"/>
    <w:rsid w:val="00A61ACA"/>
    <w:rsid w:val="00B0073F"/>
    <w:rsid w:val="00B140AA"/>
    <w:rsid w:val="00B46ADE"/>
    <w:rsid w:val="00BA74DD"/>
    <w:rsid w:val="00CB7C07"/>
    <w:rsid w:val="00CC7F36"/>
    <w:rsid w:val="00CD2503"/>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mey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meyle@klenkhoursch.de" TargetMode="External"/><Relationship Id="rId10" Type="http://schemas.openxmlformats.org/officeDocument/2006/relationships/hyperlink" Target="http://www.meyle.com/en/meyle-kits" TargetMode="External"/><Relationship Id="rId4" Type="http://schemas.microsoft.com/office/2007/relationships/stylesWithEffects" Target="stylesWithEffects.xml"/><Relationship Id="rId9" Type="http://schemas.openxmlformats.org/officeDocument/2006/relationships/hyperlink" Target="http://meyle.com/kits/vidange-dhui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9D62E-12FE-4493-B07B-7EBEAAD3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4</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2019-12-11T10:34:00Z</dcterms:created>
  <dcterms:modified xsi:type="dcterms:W3CDTF">2019-12-11T11:08:00Z</dcterms:modified>
</cp:coreProperties>
</file>